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095729">
        <w:rPr>
          <w:rFonts w:cs="Arial" w:hint="eastAsia"/>
          <w:bCs/>
          <w:sz w:val="28"/>
          <w:szCs w:val="24"/>
          <w:lang w:val="en-US" w:eastAsia="zh-TW"/>
        </w:rPr>
        <w:t>#108</w:t>
      </w:r>
      <w:r w:rsidR="00345F96">
        <w:rPr>
          <w:rFonts w:cs="Arial"/>
          <w:bCs/>
          <w:sz w:val="28"/>
          <w:szCs w:val="24"/>
          <w:lang w:val="en-US" w:eastAsia="zh-TW"/>
        </w:rPr>
        <w:t>-</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CB5A49">
        <w:rPr>
          <w:rFonts w:eastAsia="MS Mincho" w:cs="Arial"/>
          <w:bCs/>
          <w:sz w:val="28"/>
          <w:szCs w:val="24"/>
          <w:lang w:val="en-US"/>
        </w:rPr>
        <w:t>R1-2202050</w:t>
      </w:r>
      <w:bookmarkStart w:id="2" w:name="_GoBack"/>
      <w:bookmarkEnd w:id="2"/>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095729">
        <w:rPr>
          <w:rFonts w:ascii="Arial" w:eastAsia="MS Mincho" w:hAnsi="Arial" w:cs="Arial"/>
          <w:b/>
          <w:bCs/>
          <w:sz w:val="28"/>
          <w:szCs w:val="24"/>
          <w:lang w:val="en-US"/>
        </w:rPr>
        <w:t>Feb. 2</w:t>
      </w:r>
      <w:r w:rsidR="00345F96">
        <w:rPr>
          <w:rFonts w:ascii="Arial" w:eastAsia="MS Mincho" w:hAnsi="Arial" w:cs="Arial"/>
          <w:b/>
          <w:bCs/>
          <w:sz w:val="28"/>
          <w:szCs w:val="24"/>
          <w:lang w:val="en-US"/>
        </w:rPr>
        <w:t>1</w:t>
      </w:r>
      <w:r w:rsidR="00095729">
        <w:rPr>
          <w:rFonts w:ascii="Arial" w:eastAsia="MS Mincho" w:hAnsi="Arial" w:cs="Arial"/>
          <w:b/>
          <w:bCs/>
          <w:sz w:val="28"/>
          <w:szCs w:val="24"/>
          <w:vertAlign w:val="superscript"/>
          <w:lang w:val="en-US"/>
        </w:rPr>
        <w:t>st</w:t>
      </w:r>
      <w:r w:rsidR="00095729">
        <w:rPr>
          <w:rFonts w:ascii="Arial" w:eastAsia="MS Mincho" w:hAnsi="Arial" w:cs="Arial"/>
          <w:b/>
          <w:bCs/>
          <w:sz w:val="28"/>
          <w:szCs w:val="24"/>
          <w:lang w:val="en-US"/>
        </w:rPr>
        <w:t xml:space="preserve"> – Mar</w:t>
      </w:r>
      <w:r w:rsidR="00997A41">
        <w:rPr>
          <w:rFonts w:ascii="Arial" w:eastAsia="MS Mincho" w:hAnsi="Arial" w:cs="Arial"/>
          <w:b/>
          <w:bCs/>
          <w:sz w:val="28"/>
          <w:szCs w:val="24"/>
          <w:lang w:val="en-US"/>
        </w:rPr>
        <w:t>.</w:t>
      </w:r>
      <w:r w:rsidR="00095729">
        <w:rPr>
          <w:rFonts w:ascii="Arial" w:eastAsia="MS Mincho" w:hAnsi="Arial" w:cs="Arial"/>
          <w:b/>
          <w:bCs/>
          <w:sz w:val="28"/>
          <w:szCs w:val="24"/>
          <w:lang w:val="en-US"/>
        </w:rPr>
        <w:t xml:space="preserve"> 3</w:t>
      </w:r>
      <w:r w:rsidR="00095729">
        <w:rPr>
          <w:rFonts w:ascii="Arial" w:eastAsia="MS Mincho" w:hAnsi="Arial" w:cs="Arial"/>
          <w:b/>
          <w:bCs/>
          <w:sz w:val="28"/>
          <w:szCs w:val="24"/>
          <w:vertAlign w:val="superscript"/>
          <w:lang w:val="en-US"/>
        </w:rPr>
        <w:t>rd</w:t>
      </w:r>
      <w:r w:rsidR="00095729">
        <w:rPr>
          <w:rFonts w:ascii="Arial" w:eastAsia="MS Mincho" w:hAnsi="Arial" w:cs="Arial"/>
          <w:b/>
          <w:bCs/>
          <w:sz w:val="28"/>
          <w:lang w:eastAsia="ja-JP"/>
        </w:rPr>
        <w:t>, 2022</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743B0">
        <w:rPr>
          <w:rFonts w:cs="Arial"/>
          <w:bCs/>
          <w:sz w:val="28"/>
          <w:szCs w:val="24"/>
          <w:lang w:val="en-US" w:eastAsia="zh-TW"/>
        </w:rPr>
        <w:t>7.1</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3A05DF" w:rsidRPr="003A05DF">
        <w:rPr>
          <w:rFonts w:eastAsia="MS Mincho" w:cs="Arial"/>
          <w:bCs/>
          <w:sz w:val="28"/>
          <w:szCs w:val="24"/>
          <w:lang w:val="en-US"/>
        </w:rPr>
        <w:t xml:space="preserve">On </w:t>
      </w:r>
      <w:r w:rsidR="00095729">
        <w:rPr>
          <w:rFonts w:eastAsia="MS Mincho" w:cs="Arial"/>
          <w:bCs/>
          <w:sz w:val="28"/>
          <w:szCs w:val="24"/>
          <w:lang w:val="en-US"/>
        </w:rPr>
        <w:t>rate matching pattern of DSS under TDD LTE scenario</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A02243" w:rsidRDefault="00992F11" w:rsidP="005F52D4">
      <w:pPr>
        <w:spacing w:after="0"/>
        <w:rPr>
          <w:bCs/>
        </w:rPr>
      </w:pPr>
      <w:r w:rsidRPr="00992F11">
        <w:rPr>
          <w:rFonts w:hint="eastAsia"/>
          <w:bCs/>
        </w:rPr>
        <w:t>In this contribution, we discuss</w:t>
      </w:r>
      <w:r w:rsidRPr="00992F11">
        <w:rPr>
          <w:bCs/>
        </w:rPr>
        <w:t xml:space="preserve"> </w:t>
      </w:r>
      <w:r>
        <w:rPr>
          <w:rFonts w:hint="eastAsia"/>
          <w:bCs/>
        </w:rPr>
        <w:t xml:space="preserve">the issue </w:t>
      </w:r>
      <w:r w:rsidR="0090014C">
        <w:rPr>
          <w:bCs/>
        </w:rPr>
        <w:t>o</w:t>
      </w:r>
      <w:r w:rsidR="0090014C" w:rsidRPr="0090014C">
        <w:rPr>
          <w:bCs/>
        </w:rPr>
        <w:t>n rate matching pattern of DSS</w:t>
      </w:r>
      <w:r w:rsidR="00436CB6">
        <w:rPr>
          <w:bCs/>
        </w:rPr>
        <w:t xml:space="preserve"> (dynamic spectrum sharing)</w:t>
      </w:r>
      <w:r w:rsidR="0090014C" w:rsidRPr="0090014C">
        <w:rPr>
          <w:bCs/>
        </w:rPr>
        <w:t xml:space="preserve"> under TDD LTE scenario</w:t>
      </w:r>
      <w:r w:rsidR="0090014C">
        <w:rPr>
          <w:bCs/>
        </w:rPr>
        <w:t xml:space="preserve">. </w:t>
      </w:r>
    </w:p>
    <w:p w:rsidR="00A02243" w:rsidRPr="00467103" w:rsidRDefault="003A5CAF" w:rsidP="003A5CAF">
      <w:pPr>
        <w:pStyle w:val="1"/>
        <w:rPr>
          <w:rFonts w:cs="Arial"/>
          <w:color w:val="000000"/>
        </w:rPr>
      </w:pPr>
      <w:r>
        <w:rPr>
          <w:rFonts w:cs="Arial"/>
          <w:color w:val="000000"/>
        </w:rPr>
        <w:t xml:space="preserve">Current </w:t>
      </w:r>
      <w:r w:rsidRPr="003A5CAF">
        <w:rPr>
          <w:rFonts w:cs="Arial"/>
          <w:color w:val="000000"/>
        </w:rPr>
        <w:t>rate matching pattern</w:t>
      </w:r>
      <w:r>
        <w:rPr>
          <w:rFonts w:cs="Arial"/>
          <w:color w:val="000000"/>
        </w:rPr>
        <w:t xml:space="preserve"> configuration</w:t>
      </w:r>
      <w:r w:rsidRPr="003A5CAF">
        <w:rPr>
          <w:rFonts w:cs="Arial"/>
          <w:color w:val="000000"/>
        </w:rPr>
        <w:t xml:space="preserve"> of DSS</w:t>
      </w:r>
      <w:r>
        <w:rPr>
          <w:rFonts w:cs="Arial"/>
          <w:color w:val="000000"/>
        </w:rPr>
        <w:t xml:space="preserve"> in NR spec</w:t>
      </w:r>
    </w:p>
    <w:p w:rsidR="009E445D" w:rsidRDefault="003A5CAF" w:rsidP="00FF53FB">
      <w:pPr>
        <w:spacing w:after="0"/>
        <w:rPr>
          <w:bCs/>
        </w:rPr>
      </w:pPr>
      <w:r w:rsidRPr="003A5CAF">
        <w:rPr>
          <w:bCs/>
        </w:rPr>
        <w:t>Dynamic spectrum sharing (DSS) provides a useful migration path from LTE</w:t>
      </w:r>
      <w:r>
        <w:rPr>
          <w:bCs/>
        </w:rPr>
        <w:t xml:space="preserve"> (4G)</w:t>
      </w:r>
      <w:r w:rsidRPr="003A5CAF">
        <w:rPr>
          <w:bCs/>
        </w:rPr>
        <w:t xml:space="preserve"> to NR</w:t>
      </w:r>
      <w:r>
        <w:rPr>
          <w:bCs/>
        </w:rPr>
        <w:t xml:space="preserve"> (5G)</w:t>
      </w:r>
      <w:r w:rsidRPr="003A5CAF">
        <w:rPr>
          <w:bCs/>
        </w:rPr>
        <w:t xml:space="preserve"> by allowing LTE and NR to shar</w:t>
      </w:r>
      <w:r>
        <w:rPr>
          <w:bCs/>
        </w:rPr>
        <w:t>e the same carrier instead of a</w:t>
      </w:r>
      <w:r w:rsidRPr="003A5CAF">
        <w:rPr>
          <w:bCs/>
        </w:rPr>
        <w:t xml:space="preserve"> conventional spectrum re-farming.</w:t>
      </w:r>
      <w:r>
        <w:rPr>
          <w:bCs/>
        </w:rPr>
        <w:t xml:space="preserve"> To enable DSS, NR UE needs to do rate matching around the CRS (4G reference signal)</w:t>
      </w:r>
      <w:r w:rsidR="00A7276E">
        <w:rPr>
          <w:bCs/>
        </w:rPr>
        <w:t xml:space="preserve"> as shown in Figure</w:t>
      </w:r>
      <w:r>
        <w:rPr>
          <w:bCs/>
        </w:rPr>
        <w:t xml:space="preserve"> 1 below.</w:t>
      </w:r>
    </w:p>
    <w:p w:rsidR="003A5CAF" w:rsidRDefault="003A5CAF" w:rsidP="00FF53FB">
      <w:pPr>
        <w:spacing w:after="0"/>
        <w:rPr>
          <w:bCs/>
        </w:rPr>
      </w:pPr>
    </w:p>
    <w:p w:rsidR="003A5CAF" w:rsidRDefault="00A7276E" w:rsidP="00A7276E">
      <w:pPr>
        <w:spacing w:after="0"/>
        <w:jc w:val="center"/>
        <w:rPr>
          <w:bCs/>
        </w:rPr>
      </w:pPr>
      <w:r>
        <w:rPr>
          <w:noProof/>
          <w:lang w:val="en-US" w:eastAsia="zh-TW"/>
        </w:rPr>
        <w:drawing>
          <wp:inline distT="0" distB="0" distL="0" distR="0" wp14:anchorId="4CD1B20C" wp14:editId="0EE15C8B">
            <wp:extent cx="4795990" cy="2427097"/>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09448" cy="2433908"/>
                    </a:xfrm>
                    <a:prstGeom prst="rect">
                      <a:avLst/>
                    </a:prstGeom>
                  </pic:spPr>
                </pic:pic>
              </a:graphicData>
            </a:graphic>
          </wp:inline>
        </w:drawing>
      </w:r>
    </w:p>
    <w:p w:rsidR="000E15D3" w:rsidRDefault="000E15D3" w:rsidP="00A7276E">
      <w:pPr>
        <w:spacing w:after="0"/>
        <w:jc w:val="center"/>
        <w:rPr>
          <w:b/>
          <w:bCs/>
        </w:rPr>
      </w:pPr>
    </w:p>
    <w:p w:rsidR="00A7276E" w:rsidRPr="000E15D3" w:rsidRDefault="00A7276E" w:rsidP="00A7276E">
      <w:pPr>
        <w:spacing w:after="0"/>
        <w:jc w:val="center"/>
        <w:rPr>
          <w:b/>
          <w:bCs/>
        </w:rPr>
      </w:pPr>
      <w:r w:rsidRPr="000E15D3">
        <w:rPr>
          <w:b/>
          <w:bCs/>
        </w:rPr>
        <w:t>Figure 1. A DSS example</w:t>
      </w:r>
      <w:r w:rsidR="000E15D3">
        <w:rPr>
          <w:b/>
          <w:bCs/>
        </w:rPr>
        <w:t xml:space="preserve"> with LTE(4G)/NR(5G) sharing</w:t>
      </w:r>
      <w:r w:rsidR="000E15D3" w:rsidRPr="000E15D3">
        <w:rPr>
          <w:b/>
          <w:bCs/>
        </w:rPr>
        <w:t xml:space="preserve"> the same carrier</w:t>
      </w:r>
    </w:p>
    <w:p w:rsidR="003A5CAF" w:rsidRDefault="003A5CAF" w:rsidP="00FF53FB">
      <w:pPr>
        <w:spacing w:after="0"/>
        <w:rPr>
          <w:bCs/>
        </w:rPr>
      </w:pPr>
    </w:p>
    <w:p w:rsidR="009A0216" w:rsidRDefault="009A0216" w:rsidP="00FF53FB">
      <w:pPr>
        <w:spacing w:after="0"/>
        <w:rPr>
          <w:bCs/>
        </w:rPr>
      </w:pPr>
      <w:r>
        <w:rPr>
          <w:bCs/>
        </w:rPr>
        <w:t>In current NR spec (38.331 [</w:t>
      </w:r>
      <w:r w:rsidR="009C4C09">
        <w:rPr>
          <w:bCs/>
        </w:rPr>
        <w:t>1</w:t>
      </w:r>
      <w:r>
        <w:rPr>
          <w:bCs/>
        </w:rPr>
        <w:t>]), NR</w:t>
      </w:r>
      <w:r>
        <w:rPr>
          <w:rFonts w:hint="eastAsia"/>
          <w:bCs/>
          <w:lang w:eastAsia="zh-TW"/>
        </w:rPr>
        <w:t xml:space="preserve"> UE obtains the </w:t>
      </w:r>
      <w:r>
        <w:rPr>
          <w:bCs/>
          <w:lang w:eastAsia="zh-TW"/>
        </w:rPr>
        <w:t>LTE CRS pattern for rate matching</w:t>
      </w:r>
      <w:r>
        <w:rPr>
          <w:bCs/>
        </w:rPr>
        <w:t xml:space="preserve"> by the IE </w:t>
      </w:r>
      <w:r w:rsidRPr="009A0216">
        <w:rPr>
          <w:bCs/>
          <w:i/>
        </w:rPr>
        <w:t>lte-CRS-ToMatchAround</w:t>
      </w:r>
      <w:r>
        <w:rPr>
          <w:bCs/>
        </w:rPr>
        <w:t>:</w:t>
      </w:r>
    </w:p>
    <w:p w:rsidR="00B80854" w:rsidRDefault="00B80854" w:rsidP="00FF53FB">
      <w:pPr>
        <w:spacing w:after="0"/>
        <w:rPr>
          <w:bCs/>
        </w:rPr>
      </w:pPr>
      <w:r>
        <w:rPr>
          <w:noProof/>
          <w:lang w:val="en-US" w:eastAsia="zh-TW"/>
        </w:rPr>
        <w:drawing>
          <wp:inline distT="0" distB="0" distL="0" distR="0" wp14:anchorId="61F25816" wp14:editId="4299AA3C">
            <wp:extent cx="6122035" cy="93345"/>
            <wp:effectExtent l="0" t="0" r="0"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93345"/>
                    </a:xfrm>
                    <a:prstGeom prst="rect">
                      <a:avLst/>
                    </a:prstGeom>
                  </pic:spPr>
                </pic:pic>
              </a:graphicData>
            </a:graphic>
          </wp:inline>
        </w:drawing>
      </w:r>
    </w:p>
    <w:p w:rsidR="004161E8" w:rsidRDefault="004161E8" w:rsidP="004161E8">
      <w:pPr>
        <w:spacing w:after="0"/>
        <w:rPr>
          <w:bCs/>
        </w:rPr>
      </w:pPr>
    </w:p>
    <w:p w:rsidR="00B80854" w:rsidRDefault="009C4C09" w:rsidP="004161E8">
      <w:pPr>
        <w:spacing w:after="0"/>
        <w:rPr>
          <w:bCs/>
        </w:rPr>
      </w:pPr>
      <w:r>
        <w:rPr>
          <w:bCs/>
        </w:rPr>
        <w:t xml:space="preserve">UE would assume the same </w:t>
      </w:r>
      <w:r w:rsidRPr="009C4C09">
        <w:rPr>
          <w:bCs/>
          <w:i/>
        </w:rPr>
        <w:t>RateMatchPatternLTE-CRS</w:t>
      </w:r>
      <w:r>
        <w:rPr>
          <w:bCs/>
        </w:rPr>
        <w:t xml:space="preserve"> for each LTE sub-frame, which is intuitive for LTE FDD scenario</w:t>
      </w:r>
      <w:r w:rsidR="00532092">
        <w:rPr>
          <w:bCs/>
        </w:rPr>
        <w:t>,</w:t>
      </w:r>
      <w:r>
        <w:rPr>
          <w:bCs/>
        </w:rPr>
        <w:t xml:space="preserve"> since every sub-frame of a LTE FDD system can be a DL sub-frame. </w:t>
      </w:r>
      <w:r w:rsidR="00DA6BFB">
        <w:rPr>
          <w:bCs/>
        </w:rPr>
        <w:t xml:space="preserve">Related spec description can be found in 38.211 [2], 38.214 [3] by searching for </w:t>
      </w:r>
      <w:r w:rsidR="00DA6BFB" w:rsidRPr="009A0216">
        <w:rPr>
          <w:bCs/>
          <w:i/>
        </w:rPr>
        <w:t>lte-CRS-ToMatchAround</w:t>
      </w:r>
      <w:r w:rsidR="00DA6BFB">
        <w:rPr>
          <w:bCs/>
        </w:rPr>
        <w:t>.</w:t>
      </w:r>
    </w:p>
    <w:p w:rsidR="00B80854" w:rsidRDefault="00B80854" w:rsidP="004161E8">
      <w:pPr>
        <w:spacing w:after="0"/>
        <w:rPr>
          <w:bCs/>
        </w:rPr>
      </w:pPr>
    </w:p>
    <w:p w:rsidR="0019549E" w:rsidRPr="00DA6BFB" w:rsidRDefault="004161E8" w:rsidP="00FF53FB">
      <w:pPr>
        <w:spacing w:after="0"/>
        <w:rPr>
          <w:b/>
          <w:bCs/>
        </w:rPr>
      </w:pPr>
      <w:r w:rsidRPr="00E720D4">
        <w:rPr>
          <w:rFonts w:hint="eastAsia"/>
          <w:b/>
          <w:u w:val="single"/>
          <w:lang w:eastAsia="zh-TW"/>
        </w:rPr>
        <w:t>Observation</w:t>
      </w:r>
      <w:r w:rsidRPr="00E720D4">
        <w:rPr>
          <w:b/>
          <w:u w:val="single"/>
        </w:rPr>
        <w:t xml:space="preserve"> 1</w:t>
      </w:r>
      <w:r>
        <w:rPr>
          <w:b/>
        </w:rPr>
        <w:t xml:space="preserve">: </w:t>
      </w:r>
      <w:r w:rsidR="009C4C09">
        <w:rPr>
          <w:b/>
        </w:rPr>
        <w:t>For DSS application, i</w:t>
      </w:r>
      <w:r w:rsidR="009C4C09" w:rsidRPr="009C4C09">
        <w:rPr>
          <w:b/>
        </w:rPr>
        <w:t xml:space="preserve">n current NR spec (38.331 [1]), NR UE obtains the LTE CRS pattern for rate matching by the IE </w:t>
      </w:r>
      <w:r w:rsidR="009C4C09" w:rsidRPr="009C4C09">
        <w:rPr>
          <w:b/>
          <w:i/>
        </w:rPr>
        <w:t>lte-CRS-ToMatchAround</w:t>
      </w:r>
      <w:r w:rsidR="009C4C09" w:rsidRPr="009C4C09">
        <w:rPr>
          <w:b/>
        </w:rPr>
        <w:t xml:space="preserve">. </w:t>
      </w:r>
      <w:r w:rsidR="009C4C09" w:rsidRPr="009C4C09">
        <w:rPr>
          <w:b/>
          <w:bCs/>
        </w:rPr>
        <w:t xml:space="preserve">UE would assume the same </w:t>
      </w:r>
      <w:r w:rsidR="009C4C09" w:rsidRPr="009C4C09">
        <w:rPr>
          <w:b/>
          <w:bCs/>
          <w:i/>
        </w:rPr>
        <w:t>RateMatchPatternLTE-CRS</w:t>
      </w:r>
      <w:r w:rsidR="009C4C09" w:rsidRPr="009C4C09">
        <w:rPr>
          <w:b/>
          <w:bCs/>
        </w:rPr>
        <w:t xml:space="preserve"> </w:t>
      </w:r>
      <w:r w:rsidR="009C4C09">
        <w:rPr>
          <w:b/>
          <w:bCs/>
        </w:rPr>
        <w:t xml:space="preserve">under </w:t>
      </w:r>
      <w:r w:rsidR="009C4C09" w:rsidRPr="009C4C09">
        <w:rPr>
          <w:b/>
          <w:i/>
        </w:rPr>
        <w:t>lte-CRS-ToMatchAround</w:t>
      </w:r>
      <w:r w:rsidR="009C4C09">
        <w:rPr>
          <w:b/>
          <w:bCs/>
        </w:rPr>
        <w:t xml:space="preserve"> </w:t>
      </w:r>
      <w:r w:rsidR="009C4C09" w:rsidRPr="009C4C09">
        <w:rPr>
          <w:b/>
          <w:bCs/>
        </w:rPr>
        <w:t>for each LTE sub-frame, which is intuitive for LTE FDD scenario</w:t>
      </w:r>
      <w:r w:rsidR="00532092">
        <w:rPr>
          <w:b/>
          <w:bCs/>
        </w:rPr>
        <w:t>,</w:t>
      </w:r>
      <w:r w:rsidR="009C4C09" w:rsidRPr="009C4C09">
        <w:rPr>
          <w:b/>
          <w:bCs/>
        </w:rPr>
        <w:t xml:space="preserve"> since every sub-frame of a LTE FDD system can be a DL sub-frame.</w:t>
      </w:r>
      <w:r w:rsidR="00DA6BFB">
        <w:rPr>
          <w:b/>
          <w:bCs/>
        </w:rPr>
        <w:t xml:space="preserve"> </w:t>
      </w:r>
      <w:r w:rsidR="00DA6BFB" w:rsidRPr="00DA6BFB">
        <w:rPr>
          <w:b/>
          <w:bCs/>
        </w:rPr>
        <w:t xml:space="preserve">Related spec description can be found in 38.211 [2], 38.214 [3] by searching for </w:t>
      </w:r>
      <w:r w:rsidR="00DA6BFB" w:rsidRPr="00DA6BFB">
        <w:rPr>
          <w:b/>
          <w:bCs/>
          <w:i/>
        </w:rPr>
        <w:t>lte-CRS-ToMatchAround</w:t>
      </w:r>
      <w:r w:rsidR="00DA6BFB" w:rsidRPr="00DA6BFB">
        <w:rPr>
          <w:b/>
          <w:bCs/>
        </w:rPr>
        <w:t>.</w:t>
      </w:r>
    </w:p>
    <w:p w:rsidR="00D47A23" w:rsidRDefault="00D47A23" w:rsidP="00023A24">
      <w:pPr>
        <w:spacing w:after="0"/>
        <w:rPr>
          <w:bCs/>
        </w:rPr>
      </w:pPr>
    </w:p>
    <w:p w:rsidR="00DA6BFB" w:rsidRDefault="00DA6BFB" w:rsidP="00DA6BFB">
      <w:pPr>
        <w:spacing w:after="0"/>
        <w:rPr>
          <w:bCs/>
        </w:rPr>
      </w:pPr>
      <w:r w:rsidRPr="00DA6BFB">
        <w:rPr>
          <w:bCs/>
        </w:rPr>
        <w:t>Technologically</w:t>
      </w:r>
      <w:r w:rsidR="00917216">
        <w:rPr>
          <w:bCs/>
        </w:rPr>
        <w:t xml:space="preserve"> speaking</w:t>
      </w:r>
      <w:r w:rsidRPr="00DA6BFB">
        <w:rPr>
          <w:bCs/>
        </w:rPr>
        <w:t>,</w:t>
      </w:r>
      <w:r>
        <w:rPr>
          <w:bCs/>
        </w:rPr>
        <w:t xml:space="preserve"> DSS</w:t>
      </w:r>
      <w:r w:rsidR="00831295">
        <w:rPr>
          <w:bCs/>
        </w:rPr>
        <w:t xml:space="preserve"> can</w:t>
      </w:r>
      <w:r>
        <w:rPr>
          <w:bCs/>
        </w:rPr>
        <w:t xml:space="preserve"> be </w:t>
      </w:r>
      <w:r w:rsidRPr="00DA6BFB">
        <w:rPr>
          <w:bCs/>
        </w:rPr>
        <w:t>applied not only to LTE FDD</w:t>
      </w:r>
      <w:r w:rsidR="00831295">
        <w:rPr>
          <w:bCs/>
        </w:rPr>
        <w:t>,</w:t>
      </w:r>
      <w:r w:rsidRPr="00DA6BFB">
        <w:rPr>
          <w:bCs/>
        </w:rPr>
        <w:t xml:space="preserve"> but also to LTE TDD</w:t>
      </w:r>
      <w:r>
        <w:rPr>
          <w:bCs/>
        </w:rPr>
        <w:t xml:space="preserve"> system. </w:t>
      </w:r>
      <w:r w:rsidR="004B3BBA">
        <w:rPr>
          <w:bCs/>
        </w:rPr>
        <w:t>However, NR UE is not aware of the TDD pattern of LTE UE</w:t>
      </w:r>
      <w:r w:rsidR="00831295">
        <w:rPr>
          <w:bCs/>
        </w:rPr>
        <w:t>,</w:t>
      </w:r>
      <w:r w:rsidR="004B3BBA">
        <w:rPr>
          <w:bCs/>
        </w:rPr>
        <w:t xml:space="preserve"> and can only assume the same LTE CRS rate </w:t>
      </w:r>
      <w:r w:rsidR="004B3BBA" w:rsidRPr="004B3BBA">
        <w:rPr>
          <w:bCs/>
        </w:rPr>
        <w:t>match pattern</w:t>
      </w:r>
      <w:r w:rsidR="004B3BBA">
        <w:rPr>
          <w:bCs/>
        </w:rPr>
        <w:t xml:space="preserve"> for each sub-frame. In this case, i</w:t>
      </w:r>
      <w:r w:rsidR="004B3BBA" w:rsidRPr="004B3BBA">
        <w:rPr>
          <w:bCs/>
        </w:rPr>
        <w:t>f NW want</w:t>
      </w:r>
      <w:r w:rsidR="004B3BBA">
        <w:rPr>
          <w:bCs/>
        </w:rPr>
        <w:t>s</w:t>
      </w:r>
      <w:r w:rsidR="004B3BBA" w:rsidRPr="004B3BBA">
        <w:rPr>
          <w:bCs/>
        </w:rPr>
        <w:t xml:space="preserve"> to sche</w:t>
      </w:r>
      <w:r w:rsidR="004B3BBA">
        <w:rPr>
          <w:bCs/>
        </w:rPr>
        <w:t>dule NR PDSCH in LTE TDD UL sub-frame</w:t>
      </w:r>
      <w:r w:rsidR="004B3BBA" w:rsidRPr="004B3BBA">
        <w:rPr>
          <w:bCs/>
        </w:rPr>
        <w:t>, L</w:t>
      </w:r>
      <w:r w:rsidR="004B3BBA">
        <w:rPr>
          <w:bCs/>
        </w:rPr>
        <w:t>TE CRS may be over-rate-</w:t>
      </w:r>
      <w:r w:rsidR="004B3BBA">
        <w:rPr>
          <w:bCs/>
        </w:rPr>
        <w:lastRenderedPageBreak/>
        <w:t>ma</w:t>
      </w:r>
      <w:r w:rsidR="002F54A5">
        <w:rPr>
          <w:bCs/>
        </w:rPr>
        <w:t xml:space="preserve">tched, but the system still </w:t>
      </w:r>
      <w:r w:rsidR="004B3BBA">
        <w:rPr>
          <w:bCs/>
        </w:rPr>
        <w:t>work</w:t>
      </w:r>
      <w:r w:rsidR="002F54A5">
        <w:rPr>
          <w:bCs/>
        </w:rPr>
        <w:t>s</w:t>
      </w:r>
      <w:r w:rsidR="004B3BBA">
        <w:rPr>
          <w:bCs/>
        </w:rPr>
        <w:t xml:space="preserve"> if gNB and UE have the same understanding</w:t>
      </w:r>
      <w:r w:rsidR="00D91A11">
        <w:rPr>
          <w:bCs/>
        </w:rPr>
        <w:t xml:space="preserve"> that each LTE sub-frame would be rate-matched</w:t>
      </w:r>
      <w:r w:rsidR="004B3BBA">
        <w:rPr>
          <w:bCs/>
        </w:rPr>
        <w:t>.</w:t>
      </w:r>
    </w:p>
    <w:p w:rsidR="004B3BBA" w:rsidRDefault="004B3BBA" w:rsidP="00DA6BFB">
      <w:pPr>
        <w:spacing w:after="0"/>
        <w:rPr>
          <w:bCs/>
        </w:rPr>
      </w:pPr>
    </w:p>
    <w:p w:rsidR="004B3BBA" w:rsidRDefault="004B3BBA" w:rsidP="00DA6BFB">
      <w:pPr>
        <w:spacing w:after="0"/>
        <w:rPr>
          <w:b/>
          <w:bCs/>
        </w:rPr>
      </w:pPr>
      <w:r w:rsidRPr="00E720D4">
        <w:rPr>
          <w:rFonts w:hint="eastAsia"/>
          <w:b/>
          <w:u w:val="single"/>
          <w:lang w:eastAsia="zh-TW"/>
        </w:rPr>
        <w:t>Observation</w:t>
      </w:r>
      <w:r w:rsidRPr="00E720D4">
        <w:rPr>
          <w:b/>
          <w:u w:val="single"/>
        </w:rPr>
        <w:t xml:space="preserve"> </w:t>
      </w:r>
      <w:r>
        <w:rPr>
          <w:b/>
          <w:u w:val="single"/>
        </w:rPr>
        <w:t>2</w:t>
      </w:r>
      <w:r>
        <w:rPr>
          <w:b/>
        </w:rPr>
        <w:t xml:space="preserve">: </w:t>
      </w:r>
      <w:r w:rsidR="00D91A11" w:rsidRPr="00D91A11">
        <w:rPr>
          <w:b/>
          <w:bCs/>
        </w:rPr>
        <w:t>Technologically</w:t>
      </w:r>
      <w:r w:rsidR="00917216">
        <w:rPr>
          <w:b/>
          <w:bCs/>
        </w:rPr>
        <w:t xml:space="preserve"> speaking</w:t>
      </w:r>
      <w:r w:rsidR="00D91A11" w:rsidRPr="00D91A11">
        <w:rPr>
          <w:b/>
          <w:bCs/>
        </w:rPr>
        <w:t>, DSS</w:t>
      </w:r>
      <w:r w:rsidR="00831295">
        <w:rPr>
          <w:b/>
          <w:bCs/>
        </w:rPr>
        <w:t xml:space="preserve"> can</w:t>
      </w:r>
      <w:r w:rsidR="00D91A11" w:rsidRPr="00D91A11">
        <w:rPr>
          <w:b/>
          <w:bCs/>
        </w:rPr>
        <w:t xml:space="preserve"> be applied not only to LTE FDD</w:t>
      </w:r>
      <w:r w:rsidR="00831295">
        <w:rPr>
          <w:b/>
          <w:bCs/>
        </w:rPr>
        <w:t>,</w:t>
      </w:r>
      <w:r w:rsidR="00D91A11" w:rsidRPr="00D91A11">
        <w:rPr>
          <w:b/>
          <w:bCs/>
        </w:rPr>
        <w:t xml:space="preserve"> but also to LTE TDD system. However, NR UE is not aware of the TDD pattern of LTE UE</w:t>
      </w:r>
      <w:r w:rsidR="00831295">
        <w:rPr>
          <w:b/>
          <w:bCs/>
        </w:rPr>
        <w:t>,</w:t>
      </w:r>
      <w:r w:rsidR="00D91A11" w:rsidRPr="00D91A11">
        <w:rPr>
          <w:b/>
          <w:bCs/>
        </w:rPr>
        <w:t xml:space="preserve"> and can only assume the same LTE CRS rate match pattern for each sub-frame. In this case, if NW wants to schedule NR PDSCH in LTE TDD UL sub-frame, LTE CRS may be over-rate-ma</w:t>
      </w:r>
      <w:r w:rsidR="002F54A5">
        <w:rPr>
          <w:b/>
          <w:bCs/>
        </w:rPr>
        <w:t xml:space="preserve">tched, but the system still </w:t>
      </w:r>
      <w:r w:rsidR="00D91A11" w:rsidRPr="00D91A11">
        <w:rPr>
          <w:b/>
          <w:bCs/>
        </w:rPr>
        <w:t>work</w:t>
      </w:r>
      <w:r w:rsidR="002F54A5">
        <w:rPr>
          <w:b/>
          <w:bCs/>
        </w:rPr>
        <w:t>s</w:t>
      </w:r>
      <w:r w:rsidR="00D91A11" w:rsidRPr="00D91A11">
        <w:rPr>
          <w:b/>
          <w:bCs/>
        </w:rPr>
        <w:t xml:space="preserve"> if gNB and UE have the same understanding</w:t>
      </w:r>
      <w:r w:rsidR="00D91A11">
        <w:rPr>
          <w:b/>
          <w:bCs/>
        </w:rPr>
        <w:t xml:space="preserve"> </w:t>
      </w:r>
      <w:r w:rsidR="00D91A11" w:rsidRPr="00D91A11">
        <w:rPr>
          <w:b/>
          <w:bCs/>
        </w:rPr>
        <w:t>that each LTE sub-frame would be rate-matched.</w:t>
      </w:r>
    </w:p>
    <w:p w:rsidR="00D91A11" w:rsidRDefault="00D91A11" w:rsidP="00DA6BFB">
      <w:pPr>
        <w:spacing w:after="0"/>
        <w:rPr>
          <w:b/>
          <w:bCs/>
        </w:rPr>
      </w:pPr>
    </w:p>
    <w:p w:rsidR="00D91A11" w:rsidRDefault="00BA7465" w:rsidP="00DA6BFB">
      <w:pPr>
        <w:spacing w:after="0"/>
        <w:rPr>
          <w:bCs/>
        </w:rPr>
      </w:pPr>
      <w:r w:rsidRPr="00BA7465">
        <w:rPr>
          <w:bCs/>
        </w:rPr>
        <w:t xml:space="preserve">To </w:t>
      </w:r>
      <w:r>
        <w:rPr>
          <w:bCs/>
        </w:rPr>
        <w:t>our u</w:t>
      </w:r>
      <w:r w:rsidR="00BD32EE">
        <w:rPr>
          <w:bCs/>
        </w:rPr>
        <w:t xml:space="preserve">nderstanding, </w:t>
      </w:r>
      <w:r w:rsidR="000513C0" w:rsidRPr="000513C0">
        <w:rPr>
          <w:bCs/>
        </w:rPr>
        <w:t>India operator is investigating DSS for LTE TDD band (e.g. band B40)</w:t>
      </w:r>
      <w:r>
        <w:rPr>
          <w:bCs/>
        </w:rPr>
        <w:t xml:space="preserve">, </w:t>
      </w:r>
      <w:r w:rsidR="000761F0">
        <w:rPr>
          <w:bCs/>
        </w:rPr>
        <w:t xml:space="preserve">and it would be beneficial to confirm the understanding that NR UE assumes </w:t>
      </w:r>
      <w:r w:rsidR="000761F0" w:rsidRPr="000761F0">
        <w:rPr>
          <w:bCs/>
        </w:rPr>
        <w:t>the same LTE CRS rate match pattern for each sub-frame</w:t>
      </w:r>
      <w:r w:rsidR="000761F0">
        <w:rPr>
          <w:bCs/>
        </w:rPr>
        <w:t xml:space="preserve">, </w:t>
      </w:r>
      <w:r w:rsidR="000761F0" w:rsidRPr="000761F0">
        <w:rPr>
          <w:bCs/>
        </w:rPr>
        <w:t>regardless LTE is FDD or TDD</w:t>
      </w:r>
      <w:r w:rsidR="000761F0">
        <w:rPr>
          <w:bCs/>
        </w:rPr>
        <w:t>, at least for R15 and R16 (commercialized releases).</w:t>
      </w:r>
    </w:p>
    <w:p w:rsidR="000761F0" w:rsidRDefault="000761F0" w:rsidP="00DA6BFB">
      <w:pPr>
        <w:spacing w:after="0"/>
        <w:rPr>
          <w:bCs/>
        </w:rPr>
      </w:pPr>
    </w:p>
    <w:p w:rsidR="000761F0" w:rsidRPr="000761F0" w:rsidRDefault="000761F0" w:rsidP="00DA6BFB">
      <w:pPr>
        <w:spacing w:after="0"/>
        <w:rPr>
          <w:b/>
          <w:bCs/>
        </w:rPr>
      </w:pPr>
      <w:r w:rsidRPr="00E720D4">
        <w:rPr>
          <w:rFonts w:hint="eastAsia"/>
          <w:b/>
          <w:u w:val="single"/>
          <w:lang w:eastAsia="zh-TW"/>
        </w:rPr>
        <w:t>Observation</w:t>
      </w:r>
      <w:r w:rsidRPr="00E720D4">
        <w:rPr>
          <w:b/>
          <w:u w:val="single"/>
        </w:rPr>
        <w:t xml:space="preserve"> </w:t>
      </w:r>
      <w:r>
        <w:rPr>
          <w:b/>
          <w:u w:val="single"/>
        </w:rPr>
        <w:t>3</w:t>
      </w:r>
      <w:r>
        <w:rPr>
          <w:b/>
        </w:rPr>
        <w:t xml:space="preserve">: </w:t>
      </w:r>
      <w:r w:rsidR="000513C0" w:rsidRPr="000513C0">
        <w:rPr>
          <w:b/>
          <w:bCs/>
        </w:rPr>
        <w:t>India operator is investigating DSS for LTE TDD band (e.g. band B40)</w:t>
      </w:r>
      <w:r w:rsidRPr="000761F0">
        <w:rPr>
          <w:b/>
          <w:bCs/>
        </w:rPr>
        <w:t>, and it would be beneficial to confirm the understanding that NR UE assumes the same LTE CRS rate match pattern for each sub-frame, regardless LTE is FDD or TDD, at least for R15 and R16 (commercialized releases)</w:t>
      </w:r>
      <w:r>
        <w:rPr>
          <w:b/>
          <w:bCs/>
        </w:rPr>
        <w:t>.</w:t>
      </w:r>
    </w:p>
    <w:p w:rsidR="000761F0" w:rsidRDefault="000761F0" w:rsidP="00DA6BFB">
      <w:pPr>
        <w:spacing w:after="0"/>
        <w:rPr>
          <w:bCs/>
        </w:rPr>
      </w:pPr>
    </w:p>
    <w:p w:rsidR="000761F0" w:rsidRDefault="000761F0" w:rsidP="00DA6BFB">
      <w:pPr>
        <w:spacing w:after="0"/>
        <w:rPr>
          <w:bCs/>
        </w:rPr>
      </w:pPr>
      <w:r>
        <w:rPr>
          <w:bCs/>
        </w:rPr>
        <w:t>Therefore, we have the following proposal:</w:t>
      </w:r>
    </w:p>
    <w:p w:rsidR="000761F0" w:rsidRDefault="000761F0" w:rsidP="00DA6BFB">
      <w:pPr>
        <w:spacing w:after="0"/>
        <w:rPr>
          <w:bCs/>
        </w:rPr>
      </w:pPr>
    </w:p>
    <w:p w:rsidR="000761F0" w:rsidRDefault="00937EBF" w:rsidP="00DA6BFB">
      <w:pPr>
        <w:spacing w:after="0"/>
        <w:rPr>
          <w:b/>
          <w:bCs/>
        </w:rPr>
      </w:pPr>
      <w:r>
        <w:rPr>
          <w:rFonts w:hint="eastAsia"/>
          <w:b/>
          <w:u w:val="single"/>
          <w:lang w:eastAsia="zh-TW"/>
        </w:rPr>
        <w:t>Proposal</w:t>
      </w:r>
      <w:r w:rsidRPr="00E720D4">
        <w:rPr>
          <w:b/>
          <w:u w:val="single"/>
        </w:rPr>
        <w:t xml:space="preserve"> </w:t>
      </w:r>
      <w:r>
        <w:rPr>
          <w:b/>
          <w:u w:val="single"/>
        </w:rPr>
        <w:t>1</w:t>
      </w:r>
      <w:r>
        <w:rPr>
          <w:b/>
        </w:rPr>
        <w:t xml:space="preserve">: </w:t>
      </w:r>
      <w:r w:rsidR="00F71E90">
        <w:rPr>
          <w:b/>
          <w:bCs/>
        </w:rPr>
        <w:t>RAN1 to draw the following conclusion:</w:t>
      </w:r>
    </w:p>
    <w:p w:rsidR="00F71E90" w:rsidRDefault="00F71E90" w:rsidP="00F71E90">
      <w:pPr>
        <w:pStyle w:val="af9"/>
        <w:numPr>
          <w:ilvl w:val="0"/>
          <w:numId w:val="38"/>
        </w:numPr>
        <w:spacing w:after="0"/>
        <w:rPr>
          <w:b/>
          <w:bCs/>
        </w:rPr>
      </w:pPr>
      <w:r w:rsidRPr="00F71E90">
        <w:rPr>
          <w:b/>
          <w:bCs/>
        </w:rPr>
        <w:t xml:space="preserve">For DSS application, </w:t>
      </w:r>
      <w:r w:rsidRPr="000761F0">
        <w:rPr>
          <w:b/>
          <w:bCs/>
        </w:rPr>
        <w:t>NR UE assumes the same LTE CRS rate match pattern for each sub-frame, regardless LTE is FDD or TDD, for R15 and R16</w:t>
      </w:r>
      <w:r>
        <w:rPr>
          <w:b/>
          <w:bCs/>
        </w:rPr>
        <w:t>.</w:t>
      </w:r>
    </w:p>
    <w:p w:rsidR="009C4C09" w:rsidRPr="00F71E90" w:rsidRDefault="00F71E90" w:rsidP="00023A24">
      <w:pPr>
        <w:pStyle w:val="af9"/>
        <w:numPr>
          <w:ilvl w:val="1"/>
          <w:numId w:val="38"/>
        </w:numPr>
        <w:spacing w:after="0"/>
        <w:rPr>
          <w:b/>
          <w:bCs/>
        </w:rPr>
      </w:pPr>
      <w:r>
        <w:rPr>
          <w:b/>
          <w:bCs/>
        </w:rPr>
        <w:t>It can be discussed</w:t>
      </w:r>
      <w:r w:rsidR="002A5F6A">
        <w:rPr>
          <w:b/>
          <w:bCs/>
        </w:rPr>
        <w:t xml:space="preserve"> later</w:t>
      </w:r>
      <w:r>
        <w:rPr>
          <w:b/>
          <w:bCs/>
        </w:rPr>
        <w:t xml:space="preserve"> whether to do further enhancement on </w:t>
      </w:r>
      <w:r w:rsidRPr="000761F0">
        <w:rPr>
          <w:b/>
          <w:bCs/>
        </w:rPr>
        <w:t>CRS rate match pattern</w:t>
      </w:r>
      <w:r>
        <w:rPr>
          <w:b/>
          <w:bCs/>
        </w:rPr>
        <w:t xml:space="preserve"> for LTE TDD system, in R17 and later releases.</w:t>
      </w:r>
    </w:p>
    <w:bookmarkEnd w:id="0"/>
    <w:bookmarkEnd w:id="1"/>
    <w:p w:rsidR="007B24DF" w:rsidRPr="00467103" w:rsidRDefault="00AC479E" w:rsidP="007B24DF">
      <w:pPr>
        <w:pStyle w:val="1"/>
        <w:rPr>
          <w:rFonts w:cs="Arial"/>
          <w:color w:val="000000"/>
        </w:rPr>
      </w:pPr>
      <w:r>
        <w:rPr>
          <w:rFonts w:cs="Arial"/>
          <w:color w:val="000000"/>
          <w:lang w:eastAsia="zh-TW"/>
        </w:rPr>
        <w:t>Conclusion</w:t>
      </w:r>
    </w:p>
    <w:p w:rsidR="00FB0FF5" w:rsidRDefault="006E59C6" w:rsidP="003A05DF">
      <w:pPr>
        <w:spacing w:after="0"/>
        <w:rPr>
          <w:bCs/>
        </w:rPr>
      </w:pPr>
      <w:r w:rsidRPr="00992F11">
        <w:rPr>
          <w:rFonts w:hint="eastAsia"/>
          <w:bCs/>
        </w:rPr>
        <w:t>In this contribution, we discuss</w:t>
      </w:r>
      <w:r w:rsidRPr="00992F11">
        <w:rPr>
          <w:bCs/>
        </w:rPr>
        <w:t xml:space="preserve"> </w:t>
      </w:r>
      <w:r>
        <w:rPr>
          <w:rFonts w:hint="eastAsia"/>
          <w:bCs/>
        </w:rPr>
        <w:t xml:space="preserve">the issue </w:t>
      </w:r>
      <w:r>
        <w:rPr>
          <w:bCs/>
        </w:rPr>
        <w:t>o</w:t>
      </w:r>
      <w:r w:rsidRPr="0090014C">
        <w:rPr>
          <w:bCs/>
        </w:rPr>
        <w:t>n rate matching pattern of DSS</w:t>
      </w:r>
      <w:r>
        <w:rPr>
          <w:bCs/>
        </w:rPr>
        <w:t xml:space="preserve"> (dynamic spectrum sharing)</w:t>
      </w:r>
      <w:r w:rsidRPr="0090014C">
        <w:rPr>
          <w:bCs/>
        </w:rPr>
        <w:t xml:space="preserve"> under TDD LTE scenario</w:t>
      </w:r>
      <w:r>
        <w:rPr>
          <w:bCs/>
        </w:rPr>
        <w:t xml:space="preserve"> </w:t>
      </w:r>
      <w:r w:rsidR="007069E2">
        <w:rPr>
          <w:bCs/>
          <w:lang w:eastAsia="zh-TW"/>
        </w:rPr>
        <w:t>with the following observations and proposals:</w:t>
      </w:r>
    </w:p>
    <w:p w:rsidR="007069E2" w:rsidRDefault="007069E2" w:rsidP="003A05DF">
      <w:pPr>
        <w:spacing w:after="0"/>
        <w:rPr>
          <w:bCs/>
          <w:lang w:eastAsia="zh-TW"/>
        </w:rPr>
      </w:pPr>
    </w:p>
    <w:p w:rsidR="006E59C6" w:rsidRPr="00DA6BFB" w:rsidRDefault="006E59C6" w:rsidP="006E59C6">
      <w:pPr>
        <w:spacing w:after="0"/>
        <w:rPr>
          <w:b/>
          <w:bCs/>
        </w:rPr>
      </w:pPr>
      <w:r w:rsidRPr="00E720D4">
        <w:rPr>
          <w:rFonts w:hint="eastAsia"/>
          <w:b/>
          <w:u w:val="single"/>
          <w:lang w:eastAsia="zh-TW"/>
        </w:rPr>
        <w:t>Observation</w:t>
      </w:r>
      <w:r w:rsidRPr="00E720D4">
        <w:rPr>
          <w:b/>
          <w:u w:val="single"/>
        </w:rPr>
        <w:t xml:space="preserve"> 1</w:t>
      </w:r>
      <w:r>
        <w:rPr>
          <w:b/>
        </w:rPr>
        <w:t>: For DSS application, i</w:t>
      </w:r>
      <w:r w:rsidRPr="009C4C09">
        <w:rPr>
          <w:b/>
        </w:rPr>
        <w:t xml:space="preserve">n current NR spec (38.331 [1]), NR UE obtains the LTE CRS pattern for rate matching by the IE </w:t>
      </w:r>
      <w:r w:rsidRPr="009C4C09">
        <w:rPr>
          <w:b/>
          <w:i/>
        </w:rPr>
        <w:t>lte-CRS-ToMatchAround</w:t>
      </w:r>
      <w:r w:rsidRPr="009C4C09">
        <w:rPr>
          <w:b/>
        </w:rPr>
        <w:t xml:space="preserve">. </w:t>
      </w:r>
      <w:r w:rsidRPr="009C4C09">
        <w:rPr>
          <w:b/>
          <w:bCs/>
        </w:rPr>
        <w:t xml:space="preserve">UE would assume the same </w:t>
      </w:r>
      <w:r w:rsidRPr="009C4C09">
        <w:rPr>
          <w:b/>
          <w:bCs/>
          <w:i/>
        </w:rPr>
        <w:t>RateMatchPatternLTE-CRS</w:t>
      </w:r>
      <w:r w:rsidRPr="009C4C09">
        <w:rPr>
          <w:b/>
          <w:bCs/>
        </w:rPr>
        <w:t xml:space="preserve"> </w:t>
      </w:r>
      <w:r>
        <w:rPr>
          <w:b/>
          <w:bCs/>
        </w:rPr>
        <w:t xml:space="preserve">under </w:t>
      </w:r>
      <w:r w:rsidRPr="009C4C09">
        <w:rPr>
          <w:b/>
          <w:i/>
        </w:rPr>
        <w:t>lte-CRS-ToMatchAround</w:t>
      </w:r>
      <w:r>
        <w:rPr>
          <w:b/>
          <w:bCs/>
        </w:rPr>
        <w:t xml:space="preserve"> </w:t>
      </w:r>
      <w:r w:rsidRPr="009C4C09">
        <w:rPr>
          <w:b/>
          <w:bCs/>
        </w:rPr>
        <w:t>for each LTE sub-frame, which is intuitive for LTE FDD scenario</w:t>
      </w:r>
      <w:r>
        <w:rPr>
          <w:b/>
          <w:bCs/>
        </w:rPr>
        <w:t>,</w:t>
      </w:r>
      <w:r w:rsidRPr="009C4C09">
        <w:rPr>
          <w:b/>
          <w:bCs/>
        </w:rPr>
        <w:t xml:space="preserve"> since every sub-frame of a LTE FDD system can be a DL sub-frame.</w:t>
      </w:r>
      <w:r>
        <w:rPr>
          <w:b/>
          <w:bCs/>
        </w:rPr>
        <w:t xml:space="preserve"> </w:t>
      </w:r>
      <w:r w:rsidRPr="00DA6BFB">
        <w:rPr>
          <w:b/>
          <w:bCs/>
        </w:rPr>
        <w:t xml:space="preserve">Related spec description can be found in 38.211 [2], 38.214 [3] by searching for </w:t>
      </w:r>
      <w:r w:rsidRPr="00DA6BFB">
        <w:rPr>
          <w:b/>
          <w:bCs/>
          <w:i/>
        </w:rPr>
        <w:t>lte-CRS-ToMatchAround</w:t>
      </w:r>
      <w:r w:rsidRPr="00DA6BFB">
        <w:rPr>
          <w:b/>
          <w:bCs/>
        </w:rPr>
        <w:t>.</w:t>
      </w:r>
    </w:p>
    <w:p w:rsidR="00FB0FF5" w:rsidRDefault="00FB0FF5" w:rsidP="003A05DF">
      <w:pPr>
        <w:spacing w:after="0"/>
        <w:rPr>
          <w:b/>
        </w:rPr>
      </w:pPr>
    </w:p>
    <w:p w:rsidR="006E59C6" w:rsidRDefault="006E59C6" w:rsidP="006E59C6">
      <w:pPr>
        <w:spacing w:after="0"/>
        <w:rPr>
          <w:b/>
          <w:bCs/>
        </w:rPr>
      </w:pPr>
      <w:r w:rsidRPr="00E720D4">
        <w:rPr>
          <w:rFonts w:hint="eastAsia"/>
          <w:b/>
          <w:u w:val="single"/>
          <w:lang w:eastAsia="zh-TW"/>
        </w:rPr>
        <w:t>Observation</w:t>
      </w:r>
      <w:r w:rsidRPr="00E720D4">
        <w:rPr>
          <w:b/>
          <w:u w:val="single"/>
        </w:rPr>
        <w:t xml:space="preserve"> </w:t>
      </w:r>
      <w:r>
        <w:rPr>
          <w:b/>
          <w:u w:val="single"/>
        </w:rPr>
        <w:t>2</w:t>
      </w:r>
      <w:r>
        <w:rPr>
          <w:b/>
        </w:rPr>
        <w:t xml:space="preserve">: </w:t>
      </w:r>
      <w:r w:rsidRPr="00D91A11">
        <w:rPr>
          <w:b/>
          <w:bCs/>
        </w:rPr>
        <w:t>Technologically</w:t>
      </w:r>
      <w:r>
        <w:rPr>
          <w:b/>
          <w:bCs/>
        </w:rPr>
        <w:t xml:space="preserve"> speaking</w:t>
      </w:r>
      <w:r w:rsidRPr="00D91A11">
        <w:rPr>
          <w:b/>
          <w:bCs/>
        </w:rPr>
        <w:t>, DSS</w:t>
      </w:r>
      <w:r>
        <w:rPr>
          <w:b/>
          <w:bCs/>
        </w:rPr>
        <w:t xml:space="preserve"> can</w:t>
      </w:r>
      <w:r w:rsidRPr="00D91A11">
        <w:rPr>
          <w:b/>
          <w:bCs/>
        </w:rPr>
        <w:t xml:space="preserve"> be applied not only to LTE FDD</w:t>
      </w:r>
      <w:r>
        <w:rPr>
          <w:b/>
          <w:bCs/>
        </w:rPr>
        <w:t>,</w:t>
      </w:r>
      <w:r w:rsidRPr="00D91A11">
        <w:rPr>
          <w:b/>
          <w:bCs/>
        </w:rPr>
        <w:t xml:space="preserve"> but also to LTE TDD system. However, NR UE is not aware of the TDD pattern of LTE UE</w:t>
      </w:r>
      <w:r>
        <w:rPr>
          <w:b/>
          <w:bCs/>
        </w:rPr>
        <w:t>,</w:t>
      </w:r>
      <w:r w:rsidRPr="00D91A11">
        <w:rPr>
          <w:b/>
          <w:bCs/>
        </w:rPr>
        <w:t xml:space="preserve"> and can only assume the same LTE CRS rate match pattern for each sub-frame. In this case, if NW wants to schedule NR PDSCH in LTE TDD UL sub-frame, LTE CRS may be over-rate-ma</w:t>
      </w:r>
      <w:r>
        <w:rPr>
          <w:b/>
          <w:bCs/>
        </w:rPr>
        <w:t xml:space="preserve">tched, but the system still </w:t>
      </w:r>
      <w:r w:rsidRPr="00D91A11">
        <w:rPr>
          <w:b/>
          <w:bCs/>
        </w:rPr>
        <w:t>work</w:t>
      </w:r>
      <w:r>
        <w:rPr>
          <w:b/>
          <w:bCs/>
        </w:rPr>
        <w:t>s</w:t>
      </w:r>
      <w:r w:rsidRPr="00D91A11">
        <w:rPr>
          <w:b/>
          <w:bCs/>
        </w:rPr>
        <w:t xml:space="preserve"> if gNB and UE have the same understanding</w:t>
      </w:r>
      <w:r>
        <w:rPr>
          <w:b/>
          <w:bCs/>
        </w:rPr>
        <w:t xml:space="preserve"> </w:t>
      </w:r>
      <w:r w:rsidRPr="00D91A11">
        <w:rPr>
          <w:b/>
          <w:bCs/>
        </w:rPr>
        <w:t>that each LTE sub-frame would be rate-matched.</w:t>
      </w:r>
    </w:p>
    <w:p w:rsidR="006E59C6" w:rsidRDefault="006E59C6" w:rsidP="003A05DF">
      <w:pPr>
        <w:spacing w:after="0"/>
        <w:rPr>
          <w:b/>
        </w:rPr>
      </w:pPr>
    </w:p>
    <w:p w:rsidR="006E59C6" w:rsidRDefault="006E59C6" w:rsidP="003A05DF">
      <w:pPr>
        <w:spacing w:after="0"/>
        <w:rPr>
          <w:b/>
          <w:bCs/>
        </w:rPr>
      </w:pPr>
      <w:r w:rsidRPr="00E720D4">
        <w:rPr>
          <w:rFonts w:hint="eastAsia"/>
          <w:b/>
          <w:u w:val="single"/>
          <w:lang w:eastAsia="zh-TW"/>
        </w:rPr>
        <w:t>Observation</w:t>
      </w:r>
      <w:r w:rsidRPr="00E720D4">
        <w:rPr>
          <w:b/>
          <w:u w:val="single"/>
        </w:rPr>
        <w:t xml:space="preserve"> </w:t>
      </w:r>
      <w:r>
        <w:rPr>
          <w:b/>
          <w:u w:val="single"/>
        </w:rPr>
        <w:t>3</w:t>
      </w:r>
      <w:r>
        <w:rPr>
          <w:b/>
        </w:rPr>
        <w:t xml:space="preserve">: </w:t>
      </w:r>
      <w:r w:rsidR="000513C0" w:rsidRPr="000513C0">
        <w:rPr>
          <w:b/>
          <w:bCs/>
        </w:rPr>
        <w:t>India operator is investigating DSS for LTE TDD band (e.g. band B40)</w:t>
      </w:r>
      <w:r w:rsidRPr="000761F0">
        <w:rPr>
          <w:b/>
          <w:bCs/>
        </w:rPr>
        <w:t>, and it would be beneficial to confirm the understanding that NR UE assumes the same LTE CRS rate match pattern for each sub-frame, regardless LTE is FDD or TDD, at least for R15 and R16 (commercialized releases)</w:t>
      </w:r>
      <w:r>
        <w:rPr>
          <w:b/>
          <w:bCs/>
        </w:rPr>
        <w:t>.</w:t>
      </w:r>
    </w:p>
    <w:p w:rsidR="006E59C6" w:rsidRDefault="006E59C6" w:rsidP="003A05DF">
      <w:pPr>
        <w:spacing w:after="0"/>
        <w:rPr>
          <w:b/>
          <w:bCs/>
        </w:rPr>
      </w:pPr>
    </w:p>
    <w:p w:rsidR="006E59C6" w:rsidRDefault="006E59C6" w:rsidP="006E59C6">
      <w:pPr>
        <w:spacing w:after="0"/>
        <w:rPr>
          <w:b/>
          <w:bCs/>
        </w:rPr>
      </w:pPr>
      <w:r>
        <w:rPr>
          <w:rFonts w:hint="eastAsia"/>
          <w:b/>
          <w:u w:val="single"/>
          <w:lang w:eastAsia="zh-TW"/>
        </w:rPr>
        <w:t>Proposal</w:t>
      </w:r>
      <w:r w:rsidRPr="00E720D4">
        <w:rPr>
          <w:b/>
          <w:u w:val="single"/>
        </w:rPr>
        <w:t xml:space="preserve"> </w:t>
      </w:r>
      <w:r>
        <w:rPr>
          <w:b/>
          <w:u w:val="single"/>
        </w:rPr>
        <w:t>1</w:t>
      </w:r>
      <w:r>
        <w:rPr>
          <w:b/>
        </w:rPr>
        <w:t xml:space="preserve">: </w:t>
      </w:r>
      <w:r>
        <w:rPr>
          <w:b/>
          <w:bCs/>
        </w:rPr>
        <w:t>RAN1 to draw the following conclusion:</w:t>
      </w:r>
    </w:p>
    <w:p w:rsidR="006E59C6" w:rsidRDefault="006E59C6" w:rsidP="006E59C6">
      <w:pPr>
        <w:pStyle w:val="af9"/>
        <w:numPr>
          <w:ilvl w:val="0"/>
          <w:numId w:val="38"/>
        </w:numPr>
        <w:spacing w:after="0"/>
        <w:rPr>
          <w:b/>
          <w:bCs/>
        </w:rPr>
      </w:pPr>
      <w:r w:rsidRPr="00F71E90">
        <w:rPr>
          <w:b/>
          <w:bCs/>
        </w:rPr>
        <w:t xml:space="preserve">For DSS application, </w:t>
      </w:r>
      <w:r w:rsidRPr="000761F0">
        <w:rPr>
          <w:b/>
          <w:bCs/>
        </w:rPr>
        <w:t>NR UE assumes the same LTE CRS rate match pattern for each sub-frame, regardless LTE is FDD or TDD, for R15 and R16</w:t>
      </w:r>
      <w:r>
        <w:rPr>
          <w:b/>
          <w:bCs/>
        </w:rPr>
        <w:t>.</w:t>
      </w:r>
    </w:p>
    <w:p w:rsidR="006E59C6" w:rsidRPr="006E59C6" w:rsidRDefault="006E59C6" w:rsidP="003A05DF">
      <w:pPr>
        <w:pStyle w:val="af9"/>
        <w:numPr>
          <w:ilvl w:val="1"/>
          <w:numId w:val="38"/>
        </w:numPr>
        <w:spacing w:after="0"/>
        <w:rPr>
          <w:b/>
          <w:bCs/>
        </w:rPr>
      </w:pPr>
      <w:r>
        <w:rPr>
          <w:b/>
          <w:bCs/>
        </w:rPr>
        <w:t xml:space="preserve">It can be discussed later whether to do further enhancement on </w:t>
      </w:r>
      <w:r w:rsidRPr="000761F0">
        <w:rPr>
          <w:b/>
          <w:bCs/>
        </w:rPr>
        <w:t>CRS rate match pattern</w:t>
      </w:r>
      <w:r>
        <w:rPr>
          <w:b/>
          <w:bCs/>
        </w:rPr>
        <w:t xml:space="preserve"> for LTE TDD system, in R17 and later releases.</w:t>
      </w:r>
    </w:p>
    <w:p w:rsidR="001D5B86" w:rsidRPr="001D5B86" w:rsidRDefault="00384CF5" w:rsidP="00FB0FF5">
      <w:pPr>
        <w:pStyle w:val="1"/>
        <w:rPr>
          <w:rFonts w:cs="Arial"/>
          <w:color w:val="000000"/>
          <w:lang w:eastAsia="zh-TW"/>
        </w:rPr>
      </w:pPr>
      <w:r w:rsidRPr="00467103">
        <w:rPr>
          <w:rFonts w:cs="Arial"/>
          <w:color w:val="000000"/>
          <w:lang w:eastAsia="zh-TW"/>
        </w:rPr>
        <w:t>Reference</w:t>
      </w:r>
    </w:p>
    <w:p w:rsidR="00E4351C" w:rsidRDefault="006B3377" w:rsidP="001A3C86">
      <w:pPr>
        <w:pStyle w:val="References"/>
      </w:pPr>
      <w:r>
        <w:t>3GPP TS 38.331</w:t>
      </w:r>
      <w:r w:rsidR="001A3C86">
        <w:t xml:space="preserve"> V16.7</w:t>
      </w:r>
      <w:r>
        <w:t>.0</w:t>
      </w:r>
      <w:r w:rsidRPr="00587815">
        <w:rPr>
          <w:rFonts w:hint="eastAsia"/>
        </w:rPr>
        <w:t>,</w:t>
      </w:r>
      <w:r w:rsidRPr="00587815">
        <w:t xml:space="preserve"> ”</w:t>
      </w:r>
      <w:r w:rsidR="001A3C86" w:rsidRPr="001A3C86">
        <w:t xml:space="preserve"> NR; Radio Resource Control (RRC); Protocol specification</w:t>
      </w:r>
      <w:r w:rsidR="00CF2B3B">
        <w:t>”</w:t>
      </w:r>
    </w:p>
    <w:p w:rsidR="003A3886" w:rsidRDefault="006B3377" w:rsidP="00CF2B3B">
      <w:pPr>
        <w:pStyle w:val="References"/>
      </w:pPr>
      <w:r>
        <w:t>3GPP TS 38.211</w:t>
      </w:r>
      <w:r w:rsidR="00CF2B3B">
        <w:t xml:space="preserve"> V16.8</w:t>
      </w:r>
      <w:r>
        <w:t>.0</w:t>
      </w:r>
      <w:r w:rsidRPr="00587815">
        <w:rPr>
          <w:rFonts w:hint="eastAsia"/>
        </w:rPr>
        <w:t>,</w:t>
      </w:r>
      <w:r w:rsidRPr="00587815">
        <w:t xml:space="preserve"> ”</w:t>
      </w:r>
      <w:r w:rsidR="00CF2B3B" w:rsidRPr="00CF2B3B">
        <w:t>NR; Physical channels and modulation</w:t>
      </w:r>
      <w:r w:rsidR="00CF2B3B">
        <w:t>”</w:t>
      </w:r>
    </w:p>
    <w:p w:rsidR="00E17FDB" w:rsidRPr="0026718B" w:rsidRDefault="005B22E3" w:rsidP="00B1102A">
      <w:pPr>
        <w:pStyle w:val="References"/>
      </w:pPr>
      <w:r>
        <w:t>3</w:t>
      </w:r>
      <w:r w:rsidR="006B3377">
        <w:t>GPP TS 38.214</w:t>
      </w:r>
      <w:r w:rsidR="00B1102A">
        <w:t xml:space="preserve"> V16.8</w:t>
      </w:r>
      <w:r w:rsidR="00DF65F4">
        <w:t>.0</w:t>
      </w:r>
      <w:r w:rsidRPr="00587815">
        <w:rPr>
          <w:rFonts w:hint="eastAsia"/>
        </w:rPr>
        <w:t>,</w:t>
      </w:r>
      <w:r w:rsidRPr="00587815">
        <w:t xml:space="preserve"> ”</w:t>
      </w:r>
      <w:r w:rsidR="00B1102A" w:rsidRPr="00B1102A">
        <w:t>NR; Physical layer procedures for data</w:t>
      </w:r>
      <w:r w:rsidR="00CF2B3B">
        <w:t>”</w:t>
      </w:r>
    </w:p>
    <w:sectPr w:rsidR="00E17FDB" w:rsidRPr="0026718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F11" w:rsidRDefault="00A11F11">
      <w:r>
        <w:separator/>
      </w:r>
    </w:p>
  </w:endnote>
  <w:endnote w:type="continuationSeparator" w:id="0">
    <w:p w:rsidR="00A11F11" w:rsidRDefault="00A1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s2OcuAe"/>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F11" w:rsidRDefault="00A11F11">
      <w:r>
        <w:separator/>
      </w:r>
    </w:p>
  </w:footnote>
  <w:footnote w:type="continuationSeparator" w:id="0">
    <w:p w:rsidR="00A11F11" w:rsidRDefault="00A11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F01F0E"/>
    <w:multiLevelType w:val="hybridMultilevel"/>
    <w:tmpl w:val="4AAACD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BF427E"/>
    <w:multiLevelType w:val="hybridMultilevel"/>
    <w:tmpl w:val="298C5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4BDCAE9A"/>
    <w:lvl w:ilvl="0">
      <w:start w:val="1"/>
      <w:numFmt w:val="decimal"/>
      <w:lvlText w:val="%1"/>
      <w:lvlJc w:val="left"/>
      <w:pPr>
        <w:ind w:left="967"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354E62"/>
    <w:multiLevelType w:val="hybridMultilevel"/>
    <w:tmpl w:val="B60ED0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1747EF8"/>
    <w:multiLevelType w:val="hybridMultilevel"/>
    <w:tmpl w:val="ABE4DF62"/>
    <w:lvl w:ilvl="0" w:tplc="0BB8EE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464699"/>
    <w:multiLevelType w:val="hybridMultilevel"/>
    <w:tmpl w:val="61E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CB03A1"/>
    <w:multiLevelType w:val="hybridMultilevel"/>
    <w:tmpl w:val="DC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826DD"/>
    <w:multiLevelType w:val="hybridMultilevel"/>
    <w:tmpl w:val="58B46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22"/>
  </w:num>
  <w:num w:numId="4">
    <w:abstractNumId w:val="16"/>
  </w:num>
  <w:num w:numId="5">
    <w:abstractNumId w:val="2"/>
  </w:num>
  <w:num w:numId="6">
    <w:abstractNumId w:val="25"/>
  </w:num>
  <w:num w:numId="7">
    <w:abstractNumId w:val="24"/>
  </w:num>
  <w:num w:numId="8">
    <w:abstractNumId w:val="9"/>
  </w:num>
  <w:num w:numId="9">
    <w:abstractNumId w:val="13"/>
  </w:num>
  <w:num w:numId="10">
    <w:abstractNumId w:val="1"/>
  </w:num>
  <w:num w:numId="11">
    <w:abstractNumId w:val="34"/>
  </w:num>
  <w:num w:numId="12">
    <w:abstractNumId w:val="8"/>
  </w:num>
  <w:num w:numId="13">
    <w:abstractNumId w:val="29"/>
  </w:num>
  <w:num w:numId="14">
    <w:abstractNumId w:val="21"/>
  </w:num>
  <w:num w:numId="15">
    <w:abstractNumId w:val="11"/>
  </w:num>
  <w:num w:numId="16">
    <w:abstractNumId w:val="33"/>
  </w:num>
  <w:num w:numId="17">
    <w:abstractNumId w:val="18"/>
  </w:num>
  <w:num w:numId="18">
    <w:abstractNumId w:val="7"/>
  </w:num>
  <w:num w:numId="19">
    <w:abstractNumId w:val="35"/>
  </w:num>
  <w:num w:numId="20">
    <w:abstractNumId w:val="10"/>
  </w:num>
  <w:num w:numId="21">
    <w:abstractNumId w:val="23"/>
  </w:num>
  <w:num w:numId="22">
    <w:abstractNumId w:val="31"/>
  </w:num>
  <w:num w:numId="23">
    <w:abstractNumId w:val="4"/>
  </w:num>
  <w:num w:numId="24">
    <w:abstractNumId w:val="28"/>
  </w:num>
  <w:num w:numId="25">
    <w:abstractNumId w:val="6"/>
  </w:num>
  <w:num w:numId="26">
    <w:abstractNumId w:val="15"/>
  </w:num>
  <w:num w:numId="27">
    <w:abstractNumId w:val="14"/>
  </w:num>
  <w:num w:numId="28">
    <w:abstractNumId w:val="26"/>
  </w:num>
  <w:num w:numId="29">
    <w:abstractNumId w:val="5"/>
  </w:num>
  <w:num w:numId="30">
    <w:abstractNumId w:val="32"/>
  </w:num>
  <w:num w:numId="31">
    <w:abstractNumId w:val="19"/>
  </w:num>
  <w:num w:numId="32">
    <w:abstractNumId w:val="20"/>
  </w:num>
  <w:num w:numId="33">
    <w:abstractNumId w:val="13"/>
  </w:num>
  <w:num w:numId="34">
    <w:abstractNumId w:val="5"/>
  </w:num>
  <w:num w:numId="35">
    <w:abstractNumId w:val="32"/>
  </w:num>
  <w:num w:numId="36">
    <w:abstractNumId w:val="17"/>
  </w:num>
  <w:num w:numId="37">
    <w:abstractNumId w:val="30"/>
  </w:num>
  <w:num w:numId="3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95D"/>
    <w:rsid w:val="00023A24"/>
    <w:rsid w:val="00023CF3"/>
    <w:rsid w:val="000241A4"/>
    <w:rsid w:val="00024741"/>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305"/>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3C0"/>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1F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4F5"/>
    <w:rsid w:val="0009371A"/>
    <w:rsid w:val="00093A16"/>
    <w:rsid w:val="00093E7E"/>
    <w:rsid w:val="00095729"/>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71"/>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2D"/>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5D3"/>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6FA"/>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BBD"/>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49E"/>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3C86"/>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436"/>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6EAB"/>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5B86"/>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578B"/>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5CD7"/>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0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18B"/>
    <w:rsid w:val="002672F0"/>
    <w:rsid w:val="002674CE"/>
    <w:rsid w:val="0026790A"/>
    <w:rsid w:val="002679DC"/>
    <w:rsid w:val="002679EB"/>
    <w:rsid w:val="00267AE9"/>
    <w:rsid w:val="00267AED"/>
    <w:rsid w:val="0027014B"/>
    <w:rsid w:val="00270151"/>
    <w:rsid w:val="002701AA"/>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1E9E"/>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5F6A"/>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4A5"/>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2CC"/>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96"/>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D6"/>
    <w:rsid w:val="00361BFB"/>
    <w:rsid w:val="00361DD8"/>
    <w:rsid w:val="003622D8"/>
    <w:rsid w:val="003628F4"/>
    <w:rsid w:val="003629F2"/>
    <w:rsid w:val="00362AE6"/>
    <w:rsid w:val="00362CFB"/>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B23"/>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5DF"/>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886"/>
    <w:rsid w:val="003A3EFC"/>
    <w:rsid w:val="003A3FFE"/>
    <w:rsid w:val="003A407F"/>
    <w:rsid w:val="003A40B4"/>
    <w:rsid w:val="003A4111"/>
    <w:rsid w:val="003A4152"/>
    <w:rsid w:val="003A4542"/>
    <w:rsid w:val="003A461D"/>
    <w:rsid w:val="003A46E5"/>
    <w:rsid w:val="003A5168"/>
    <w:rsid w:val="003A5284"/>
    <w:rsid w:val="003A54AB"/>
    <w:rsid w:val="003A56EC"/>
    <w:rsid w:val="003A5CAF"/>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C2"/>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1E8"/>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CB6"/>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AC6"/>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3CA2"/>
    <w:rsid w:val="0048435A"/>
    <w:rsid w:val="0048454F"/>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14"/>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1AA"/>
    <w:rsid w:val="004B33A0"/>
    <w:rsid w:val="004B3431"/>
    <w:rsid w:val="004B3744"/>
    <w:rsid w:val="004B3BBA"/>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21"/>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40B"/>
    <w:rsid w:val="00504699"/>
    <w:rsid w:val="00504C1D"/>
    <w:rsid w:val="00504FB8"/>
    <w:rsid w:val="005055D8"/>
    <w:rsid w:val="005055E3"/>
    <w:rsid w:val="005059EC"/>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6EF"/>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96F"/>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0C2"/>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092"/>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29AF"/>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88"/>
    <w:rsid w:val="00545AFE"/>
    <w:rsid w:val="00545DE1"/>
    <w:rsid w:val="00546068"/>
    <w:rsid w:val="005460ED"/>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3D5"/>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516"/>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2E3"/>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DA2"/>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0FC"/>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5F7F95"/>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97F92"/>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377"/>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22D"/>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C6"/>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9E2"/>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864"/>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6FB"/>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3B0"/>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87FDD"/>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990"/>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3E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295"/>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6F"/>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6CE6"/>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0A"/>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4DB2"/>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14C"/>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16"/>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37EBF"/>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A67"/>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2F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6A8"/>
    <w:rsid w:val="00997964"/>
    <w:rsid w:val="00997A41"/>
    <w:rsid w:val="009A019A"/>
    <w:rsid w:val="009A0216"/>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019"/>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8FA"/>
    <w:rsid w:val="009B0B21"/>
    <w:rsid w:val="009B0B91"/>
    <w:rsid w:val="009B0C19"/>
    <w:rsid w:val="009B0CEF"/>
    <w:rsid w:val="009B0F68"/>
    <w:rsid w:val="009B0FCB"/>
    <w:rsid w:val="009B146D"/>
    <w:rsid w:val="009B1547"/>
    <w:rsid w:val="009B1CAF"/>
    <w:rsid w:val="009B1EF4"/>
    <w:rsid w:val="009B2096"/>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492"/>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09"/>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5D"/>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243"/>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1F11"/>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BDC"/>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76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336"/>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375B"/>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9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02A"/>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5BD4"/>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2D"/>
    <w:rsid w:val="00B532BB"/>
    <w:rsid w:val="00B5352D"/>
    <w:rsid w:val="00B53641"/>
    <w:rsid w:val="00B537D5"/>
    <w:rsid w:val="00B53E31"/>
    <w:rsid w:val="00B542DE"/>
    <w:rsid w:val="00B542E4"/>
    <w:rsid w:val="00B545B1"/>
    <w:rsid w:val="00B545CD"/>
    <w:rsid w:val="00B545E5"/>
    <w:rsid w:val="00B5474F"/>
    <w:rsid w:val="00B547CF"/>
    <w:rsid w:val="00B54A2B"/>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854"/>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20F"/>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46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2EE"/>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06D"/>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536"/>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49"/>
    <w:rsid w:val="00CB5A7C"/>
    <w:rsid w:val="00CB6450"/>
    <w:rsid w:val="00CB6634"/>
    <w:rsid w:val="00CB706E"/>
    <w:rsid w:val="00CB708D"/>
    <w:rsid w:val="00CB70BE"/>
    <w:rsid w:val="00CB76C6"/>
    <w:rsid w:val="00CB7743"/>
    <w:rsid w:val="00CB78A2"/>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B3B"/>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A23"/>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0BE"/>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29A"/>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A11"/>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BFB"/>
    <w:rsid w:val="00DA6E0F"/>
    <w:rsid w:val="00DA708C"/>
    <w:rsid w:val="00DA71F0"/>
    <w:rsid w:val="00DA71F4"/>
    <w:rsid w:val="00DA72E3"/>
    <w:rsid w:val="00DA7359"/>
    <w:rsid w:val="00DA75C4"/>
    <w:rsid w:val="00DA7A51"/>
    <w:rsid w:val="00DA7D98"/>
    <w:rsid w:val="00DB02ED"/>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85B"/>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3D4F"/>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5F4"/>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4F3"/>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1C"/>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0D4"/>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817"/>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7F8"/>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B5E"/>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90"/>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ABA"/>
    <w:rsid w:val="00FA0B6D"/>
    <w:rsid w:val="00FA0E70"/>
    <w:rsid w:val="00FA0EA6"/>
    <w:rsid w:val="00FA1001"/>
    <w:rsid w:val="00FA149C"/>
    <w:rsid w:val="00FA1E72"/>
    <w:rsid w:val="00FA2168"/>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0FF5"/>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4FA"/>
    <w:rsid w:val="00FC5932"/>
    <w:rsid w:val="00FC59B6"/>
    <w:rsid w:val="00FC5D35"/>
    <w:rsid w:val="00FC6097"/>
    <w:rsid w:val="00FC60B5"/>
    <w:rsid w:val="00FC6192"/>
    <w:rsid w:val="00FC64E3"/>
    <w:rsid w:val="00FC6613"/>
    <w:rsid w:val="00FC666D"/>
    <w:rsid w:val="00FC6711"/>
    <w:rsid w:val="00FC69B9"/>
    <w:rsid w:val="00FC69F5"/>
    <w:rsid w:val="00FC7340"/>
    <w:rsid w:val="00FC73B6"/>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3CA"/>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3FB"/>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aliases w:val="Table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8B6CE6"/>
    <w:rPr>
      <w:rFonts w:ascii="Arial" w:hAnsi="Arial"/>
      <w:sz w:val="28"/>
      <w:lang w:val="en-GB"/>
    </w:rPr>
  </w:style>
  <w:style w:type="character" w:styleId="aff">
    <w:name w:val="Placeholder Text"/>
    <w:basedOn w:val="a0"/>
    <w:uiPriority w:val="99"/>
    <w:semiHidden/>
    <w:rsid w:val="00FC54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875002435">
      <w:bodyDiv w:val="1"/>
      <w:marLeft w:val="0"/>
      <w:marRight w:val="0"/>
      <w:marTop w:val="0"/>
      <w:marBottom w:val="0"/>
      <w:divBdr>
        <w:top w:val="none" w:sz="0" w:space="0" w:color="auto"/>
        <w:left w:val="none" w:sz="0" w:space="0" w:color="auto"/>
        <w:bottom w:val="none" w:sz="0" w:space="0" w:color="auto"/>
        <w:right w:val="none" w:sz="0" w:space="0" w:color="auto"/>
      </w:divBdr>
    </w:div>
    <w:div w:id="880900981">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90073101">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02617410">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2.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3.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91F6431-7668-4433-B139-89BC43FD7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5502</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3</cp:revision>
  <cp:lastPrinted>2018-01-16T17:39:00Z</cp:lastPrinted>
  <dcterms:created xsi:type="dcterms:W3CDTF">2022-02-14T09:09:00Z</dcterms:created>
  <dcterms:modified xsi:type="dcterms:W3CDTF">2022-02-14T09:09:00Z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